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0"/>
          <w:szCs w:val="40"/>
        </w:rPr>
      </w:pPr>
      <w:r>
        <w:rPr>
          <w:rFonts w:hint="eastAsia"/>
          <w:sz w:val="40"/>
          <w:szCs w:val="40"/>
        </w:rPr>
        <w:t>《广告设计》网络课程教学大纲</w:t>
      </w:r>
    </w:p>
    <w:p/>
    <w:tbl>
      <w:tblPr>
        <w:tblStyle w:val="5"/>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3026"/>
        <w:gridCol w:w="1560"/>
        <w:gridCol w:w="2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618" w:type="dxa"/>
          </w:tcPr>
          <w:p>
            <w:r>
              <w:rPr>
                <w:rFonts w:hint="eastAsia"/>
              </w:rPr>
              <w:t>学院：</w:t>
            </w:r>
          </w:p>
        </w:tc>
        <w:tc>
          <w:tcPr>
            <w:tcW w:w="3026" w:type="dxa"/>
          </w:tcPr>
          <w:p>
            <w:r>
              <w:rPr>
                <w:rFonts w:hint="eastAsia"/>
              </w:rPr>
              <w:t>设计学院</w:t>
            </w:r>
          </w:p>
        </w:tc>
        <w:tc>
          <w:tcPr>
            <w:tcW w:w="1560" w:type="dxa"/>
          </w:tcPr>
          <w:p>
            <w:r>
              <w:rPr>
                <w:rFonts w:hint="eastAsia"/>
              </w:rPr>
              <w:t>专业及方向：</w:t>
            </w:r>
          </w:p>
        </w:tc>
        <w:tc>
          <w:tcPr>
            <w:tcW w:w="2736" w:type="dxa"/>
          </w:tcPr>
          <w:p>
            <w:pPr>
              <w:ind w:firstLine="200" w:firstLineChars="100"/>
              <w:rPr>
                <w:rFonts w:ascii="Tahoma" w:hAnsi="Tahoma" w:cs="Tahoma"/>
                <w:bCs/>
                <w:spacing w:val="-20"/>
              </w:rPr>
            </w:pPr>
            <w:r>
              <w:rPr>
                <w:rFonts w:hint="eastAsia" w:ascii="Tahoma" w:hAnsi="Tahoma" w:cs="Tahoma"/>
                <w:bCs/>
                <w:spacing w:val="-20"/>
              </w:rPr>
              <w:t>视觉传达设计专业</w:t>
            </w:r>
          </w:p>
          <w:p>
            <w:r>
              <w:rPr>
                <w:rFonts w:hint="eastAsia" w:ascii="Tahoma" w:hAnsi="Tahoma" w:cs="Tahoma"/>
                <w:bCs/>
                <w:spacing w:val="-20"/>
              </w:rPr>
              <w:t>（品牌视觉设计方向）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trPr>
        <w:tc>
          <w:tcPr>
            <w:tcW w:w="1618" w:type="dxa"/>
          </w:tcPr>
          <w:p>
            <w:r>
              <w:rPr>
                <w:rFonts w:hint="eastAsia"/>
              </w:rPr>
              <w:t>课程编码：</w:t>
            </w:r>
          </w:p>
        </w:tc>
        <w:tc>
          <w:tcPr>
            <w:tcW w:w="3026" w:type="dxa"/>
          </w:tcPr>
          <w:p>
            <w:r>
              <w:rPr>
                <w:rFonts w:hint="eastAsia" w:ascii="宋体" w:hAnsi="宋体"/>
              </w:rPr>
              <w:t>255111</w:t>
            </w:r>
          </w:p>
        </w:tc>
        <w:tc>
          <w:tcPr>
            <w:tcW w:w="1560" w:type="dxa"/>
          </w:tcPr>
          <w:p>
            <w:r>
              <w:rPr>
                <w:rFonts w:hint="eastAsia"/>
              </w:rPr>
              <w:t>学时及学分：</w:t>
            </w:r>
          </w:p>
        </w:tc>
        <w:tc>
          <w:tcPr>
            <w:tcW w:w="2736" w:type="dxa"/>
          </w:tcPr>
          <w:p>
            <w:pPr>
              <w:ind w:firstLine="120" w:firstLineChars="50"/>
            </w:pPr>
            <w:r>
              <w:rPr>
                <w:rFonts w:hint="eastAsia"/>
              </w:rPr>
              <w:t>48课时</w:t>
            </w:r>
          </w:p>
          <w:p>
            <w:pPr>
              <w:ind w:firstLine="120" w:firstLineChars="50"/>
            </w:pPr>
            <w:r>
              <w:rPr>
                <w:rFonts w:hint="eastAsia"/>
              </w:rPr>
              <w:t>4.5学分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3" w:hRule="atLeast"/>
        </w:trPr>
        <w:tc>
          <w:tcPr>
            <w:tcW w:w="1618" w:type="dxa"/>
          </w:tcPr>
          <w:p>
            <w:r>
              <w:rPr>
                <w:rFonts w:hint="eastAsia"/>
              </w:rPr>
              <w:t>授课班级：</w:t>
            </w:r>
          </w:p>
        </w:tc>
        <w:tc>
          <w:tcPr>
            <w:tcW w:w="3026" w:type="dxa"/>
          </w:tcPr>
          <w:p>
            <w:pPr>
              <w:rPr>
                <w:rFonts w:hint="eastAsia"/>
              </w:rPr>
            </w:pPr>
            <w:r>
              <w:rPr>
                <w:rFonts w:hint="eastAsia"/>
              </w:rPr>
              <w:t>2018级品牌视觉设计1班</w:t>
            </w:r>
          </w:p>
          <w:p>
            <w:pPr>
              <w:rPr>
                <w:rFonts w:hint="eastAsia"/>
              </w:rPr>
            </w:pPr>
            <w:r>
              <w:rPr>
                <w:rFonts w:hint="eastAsia"/>
              </w:rPr>
              <w:t>2018级品牌视觉设计2班</w:t>
            </w:r>
          </w:p>
        </w:tc>
        <w:tc>
          <w:tcPr>
            <w:tcW w:w="1560" w:type="dxa"/>
          </w:tcPr>
          <w:p>
            <w:r>
              <w:rPr>
                <w:rFonts w:hint="eastAsia"/>
              </w:rPr>
              <w:t xml:space="preserve">课程组成员： </w:t>
            </w:r>
          </w:p>
        </w:tc>
        <w:tc>
          <w:tcPr>
            <w:tcW w:w="2736" w:type="dxa"/>
          </w:tcPr>
          <w:p>
            <w:pPr>
              <w:ind w:firstLine="120" w:firstLineChars="50"/>
            </w:pPr>
            <w:r>
              <w:rPr>
                <w:rFonts w:hint="eastAsia"/>
              </w:rPr>
              <w:t>任 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618" w:type="dxa"/>
          </w:tcPr>
          <w:p>
            <w:r>
              <w:rPr>
                <w:rFonts w:hint="eastAsia"/>
              </w:rPr>
              <w:t>课程负责人：</w:t>
            </w:r>
          </w:p>
        </w:tc>
        <w:tc>
          <w:tcPr>
            <w:tcW w:w="3026" w:type="dxa"/>
          </w:tcPr>
          <w:p>
            <w:r>
              <w:rPr>
                <w:rFonts w:hint="eastAsia"/>
              </w:rPr>
              <w:t>任 旭</w:t>
            </w:r>
          </w:p>
        </w:tc>
        <w:tc>
          <w:tcPr>
            <w:tcW w:w="1560" w:type="dxa"/>
          </w:tcPr>
          <w:p>
            <w:r>
              <w:rPr>
                <w:rFonts w:hint="eastAsia"/>
              </w:rPr>
              <w:t>审核人：</w:t>
            </w:r>
          </w:p>
        </w:tc>
        <w:tc>
          <w:tcPr>
            <w:tcW w:w="2736" w:type="dxa"/>
          </w:tcPr>
          <w:p>
            <w:pPr>
              <w:ind w:firstLine="120" w:firstLineChars="50"/>
            </w:pPr>
            <w:r>
              <w:rPr>
                <w:rFonts w:hint="eastAsia"/>
              </w:rPr>
              <w:t>田立群</w:t>
            </w:r>
          </w:p>
        </w:tc>
      </w:tr>
    </w:tbl>
    <w:p/>
    <w:p>
      <w:pPr>
        <w:rPr>
          <w:b/>
          <w:bCs/>
          <w:sz w:val="28"/>
          <w:szCs w:val="28"/>
        </w:rPr>
      </w:pPr>
      <w:r>
        <w:rPr>
          <w:rFonts w:hint="eastAsia"/>
          <w:b/>
          <w:bCs/>
          <w:sz w:val="28"/>
          <w:szCs w:val="28"/>
        </w:rPr>
        <w:t>一、课程说明：</w:t>
      </w:r>
    </w:p>
    <w:p>
      <w:r>
        <w:rPr>
          <w:rFonts w:hint="eastAsia"/>
        </w:rPr>
        <w:t>本门课程使用的在线教学课程采用优质慕课结合任课教师在线教学的授课方式。课程50%学时由学生利用在线开放课资源自主学习，50%学时任课教师利用在线教学软件开展直播、速课、同步课堂进行在线教学，同时利用社交软件发布通知、下发学习任务、进行辅导答疑，辅助教学及班级管理。</w:t>
      </w:r>
    </w:p>
    <w:p>
      <w:pPr>
        <w:rPr>
          <w:b/>
          <w:bCs/>
          <w:sz w:val="28"/>
          <w:szCs w:val="28"/>
        </w:rPr>
      </w:pPr>
    </w:p>
    <w:p>
      <w:pPr>
        <w:rPr>
          <w:b/>
          <w:bCs/>
          <w:sz w:val="28"/>
          <w:szCs w:val="28"/>
        </w:rPr>
      </w:pPr>
      <w:r>
        <w:rPr>
          <w:rFonts w:hint="eastAsia"/>
          <w:b/>
          <w:bCs/>
          <w:sz w:val="28"/>
          <w:szCs w:val="28"/>
        </w:rPr>
        <w:t>二、授课流程介绍：</w:t>
      </w:r>
    </w:p>
    <w:p>
      <w:r>
        <w:rPr>
          <w:rFonts w:hint="eastAsia"/>
        </w:rPr>
        <w:t>1.学习使用超星“一平三端”；</w:t>
      </w:r>
    </w:p>
    <w:p>
      <w:r>
        <w:rPr>
          <w:rFonts w:hint="eastAsia"/>
        </w:rPr>
        <w:t>2.优选优质慕课资源和电子教材；</w:t>
      </w:r>
    </w:p>
    <w:p>
      <w:r>
        <w:rPr>
          <w:rFonts w:hint="eastAsia"/>
        </w:rPr>
        <w:t>3.形成每周学生自主学习任务清单及教师线上教学设计；</w:t>
      </w:r>
    </w:p>
    <w:p>
      <w:r>
        <w:rPr>
          <w:rFonts w:hint="eastAsia"/>
        </w:rPr>
        <w:t>4.建设1-8教学周教学资源，包括教学课件、述课视频、案例、试题、作业、讨论题；</w:t>
      </w:r>
    </w:p>
    <w:p>
      <w:r>
        <w:rPr>
          <w:rFonts w:hint="eastAsia"/>
        </w:rPr>
        <w:t>5.利用学习通进行建课；</w:t>
      </w:r>
    </w:p>
    <w:p>
      <w:r>
        <w:rPr>
          <w:rFonts w:hint="eastAsia"/>
        </w:rPr>
        <w:t>6.指导学生使用学习通等相关软件，了解课程教学方案，学生进班课、进微信群；</w:t>
      </w:r>
    </w:p>
    <w:p>
      <w:r>
        <w:rPr>
          <w:rFonts w:hint="eastAsia"/>
        </w:rPr>
        <w:t>7.开学前一周进行试课至少1次，使师生更好的适应在线教学。</w:t>
      </w:r>
    </w:p>
    <w:p>
      <w:pPr>
        <w:rPr>
          <w:b/>
        </w:rPr>
      </w:pPr>
    </w:p>
    <w:p>
      <w:pPr>
        <w:rPr>
          <w:b/>
          <w:bCs/>
          <w:sz w:val="28"/>
          <w:szCs w:val="28"/>
        </w:rPr>
      </w:pPr>
      <w:r>
        <w:rPr>
          <w:rFonts w:hint="eastAsia"/>
          <w:b/>
        </w:rPr>
        <w:t>三、</w:t>
      </w:r>
      <w:r>
        <w:rPr>
          <w:rFonts w:hint="eastAsia"/>
          <w:b/>
          <w:bCs/>
          <w:sz w:val="28"/>
          <w:szCs w:val="28"/>
        </w:rPr>
        <w:t>教学内容安排（课时分配）</w:t>
      </w:r>
    </w:p>
    <w:p>
      <w:pPr>
        <w:rPr>
          <w:rFonts w:hint="eastAsia"/>
          <w:b/>
          <w:bCs/>
          <w:sz w:val="28"/>
          <w:szCs w:val="28"/>
        </w:rPr>
      </w:pPr>
    </w:p>
    <w:tbl>
      <w:tblPr>
        <w:tblStyle w:val="4"/>
        <w:tblW w:w="9208" w:type="dxa"/>
        <w:tblInd w:w="-1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2804"/>
        <w:gridCol w:w="758"/>
        <w:gridCol w:w="774"/>
        <w:gridCol w:w="852"/>
        <w:gridCol w:w="853"/>
        <w:gridCol w:w="837"/>
        <w:gridCol w:w="668"/>
        <w:gridCol w:w="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9" w:hRule="atLeast"/>
        </w:trPr>
        <w:tc>
          <w:tcPr>
            <w:tcW w:w="3554" w:type="dxa"/>
            <w:gridSpan w:val="2"/>
            <w:vMerge w:val="restart"/>
            <w:tcBorders>
              <w:top w:val="single" w:color="auto" w:sz="4" w:space="0"/>
              <w:left w:val="single" w:color="auto" w:sz="4" w:space="0"/>
              <w:right w:val="single" w:color="auto" w:sz="4" w:space="0"/>
            </w:tcBorders>
            <w:vAlign w:val="center"/>
          </w:tcPr>
          <w:p>
            <w:pPr>
              <w:spacing w:line="440" w:lineRule="exact"/>
              <w:rPr>
                <w:rFonts w:ascii="宋体" w:hAnsi="宋体"/>
              </w:rPr>
            </w:pPr>
            <w:r>
              <w:rPr>
                <w:rFonts w:hint="eastAsia" w:ascii="宋体" w:hAnsi="宋体"/>
              </w:rPr>
              <w:t xml:space="preserve">       教学基本内容</w:t>
            </w:r>
          </w:p>
        </w:tc>
        <w:tc>
          <w:tcPr>
            <w:tcW w:w="5654"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课程安排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3" w:hRule="atLeast"/>
        </w:trPr>
        <w:tc>
          <w:tcPr>
            <w:tcW w:w="3554" w:type="dxa"/>
            <w:gridSpan w:val="2"/>
            <w:vMerge w:val="continue"/>
            <w:tcBorders>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c>
          <w:tcPr>
            <w:tcW w:w="75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PPT</w:t>
            </w:r>
          </w:p>
        </w:tc>
        <w:tc>
          <w:tcPr>
            <w:tcW w:w="77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教学资源</w:t>
            </w:r>
          </w:p>
        </w:tc>
        <w:tc>
          <w:tcPr>
            <w:tcW w:w="85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录制视频</w:t>
            </w:r>
          </w:p>
        </w:tc>
        <w:tc>
          <w:tcPr>
            <w:tcW w:w="85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直播教学</w:t>
            </w:r>
          </w:p>
        </w:tc>
        <w:tc>
          <w:tcPr>
            <w:tcW w:w="83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课堂互动</w:t>
            </w:r>
          </w:p>
        </w:tc>
        <w:tc>
          <w:tcPr>
            <w:tcW w:w="6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cs="Tahoma"/>
                <w:szCs w:val="28"/>
              </w:rPr>
              <w:t>作业</w:t>
            </w:r>
          </w:p>
        </w:tc>
        <w:tc>
          <w:tcPr>
            <w:tcW w:w="91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辅助资料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750" w:type="dxa"/>
            <w:vMerge w:val="restart"/>
            <w:tcBorders>
              <w:top w:val="single" w:color="auto" w:sz="4" w:space="0"/>
              <w:left w:val="single" w:color="auto" w:sz="4" w:space="0"/>
              <w:right w:val="single" w:color="auto" w:sz="4" w:space="0"/>
            </w:tcBorders>
          </w:tcPr>
          <w:p>
            <w:pPr>
              <w:spacing w:line="440" w:lineRule="exact"/>
              <w:rPr>
                <w:rFonts w:ascii="宋体" w:hAnsi="宋体"/>
                <w:bCs/>
              </w:rPr>
            </w:pPr>
            <w:r>
              <w:rPr>
                <w:rFonts w:hint="eastAsia" w:ascii="宋体" w:hAnsi="宋体" w:cs="Helvetica"/>
                <w:b/>
                <w:kern w:val="0"/>
              </w:rPr>
              <w:t>设计综合能力实训</w:t>
            </w:r>
          </w:p>
        </w:tc>
        <w:tc>
          <w:tcPr>
            <w:tcW w:w="2804"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Helvetica"/>
                <w:kern w:val="0"/>
              </w:rPr>
            </w:pPr>
            <w:r>
              <w:rPr>
                <w:rFonts w:hint="eastAsia" w:ascii="宋体" w:hAnsi="宋体" w:cs="Helvetica"/>
                <w:kern w:val="0"/>
              </w:rPr>
              <w:t>第1周-第2周</w:t>
            </w:r>
          </w:p>
          <w:p>
            <w:pPr>
              <w:spacing w:line="440" w:lineRule="exact"/>
              <w:rPr>
                <w:rFonts w:ascii="宋体" w:hAnsi="宋体"/>
                <w:bCs/>
              </w:rPr>
            </w:pPr>
            <w:r>
              <w:rPr>
                <w:rFonts w:hint="eastAsia" w:ascii="宋体" w:hAnsi="宋体"/>
                <w:bCs/>
              </w:rPr>
              <w:t>1.广告设计的基本概念</w:t>
            </w:r>
          </w:p>
          <w:p>
            <w:pPr>
              <w:spacing w:line="440" w:lineRule="exact"/>
              <w:rPr>
                <w:rFonts w:ascii="宋体" w:hAnsi="宋体"/>
                <w:bCs/>
              </w:rPr>
            </w:pPr>
            <w:r>
              <w:rPr>
                <w:rFonts w:hint="eastAsia" w:ascii="宋体" w:hAnsi="宋体"/>
                <w:bCs/>
              </w:rPr>
              <w:t>2.广告设计心理学</w:t>
            </w:r>
          </w:p>
          <w:p>
            <w:pPr>
              <w:spacing w:line="440" w:lineRule="exact"/>
              <w:rPr>
                <w:rFonts w:hint="eastAsia" w:ascii="宋体" w:hAnsi="宋体"/>
                <w:bCs/>
              </w:rPr>
            </w:pPr>
            <w:r>
              <w:rPr>
                <w:rFonts w:hint="eastAsia" w:ascii="宋体" w:hAnsi="宋体"/>
                <w:bCs/>
              </w:rPr>
              <w:t>3.</w:t>
            </w:r>
            <w:r>
              <w:rPr>
                <w:rFonts w:hint="eastAsia"/>
              </w:rPr>
              <w:t xml:space="preserve"> </w:t>
            </w:r>
            <w:r>
              <w:rPr>
                <w:rFonts w:hint="eastAsia" w:ascii="宋体" w:hAnsi="宋体"/>
                <w:bCs/>
              </w:rPr>
              <w:t>广告设计的策划执行</w:t>
            </w:r>
          </w:p>
        </w:tc>
        <w:tc>
          <w:tcPr>
            <w:tcW w:w="758"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r>
              <w:rPr>
                <w:rFonts w:ascii="宋体" w:hAnsi="宋体"/>
              </w:rPr>
              <w:t>4</w:t>
            </w:r>
          </w:p>
        </w:tc>
        <w:tc>
          <w:tcPr>
            <w:tcW w:w="774"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4</w:t>
            </w: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ascii="宋体" w:hAnsi="宋体"/>
              </w:rPr>
              <w:t>4</w:t>
            </w:r>
          </w:p>
        </w:tc>
        <w:tc>
          <w:tcPr>
            <w:tcW w:w="85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ascii="宋体" w:hAnsi="宋体"/>
              </w:rPr>
              <w:t>4</w:t>
            </w:r>
          </w:p>
        </w:tc>
        <w:tc>
          <w:tcPr>
            <w:tcW w:w="83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ascii="宋体" w:hAnsi="宋体"/>
              </w:rPr>
              <w:t>4</w:t>
            </w:r>
          </w:p>
        </w:tc>
        <w:tc>
          <w:tcPr>
            <w:tcW w:w="668"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r>
              <w:rPr>
                <w:rFonts w:ascii="宋体" w:hAnsi="宋体"/>
              </w:rPr>
              <w:t>4</w:t>
            </w: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750" w:type="dxa"/>
            <w:vMerge w:val="continue"/>
            <w:tcBorders>
              <w:left w:val="single" w:color="auto" w:sz="4" w:space="0"/>
              <w:right w:val="single" w:color="auto" w:sz="4" w:space="0"/>
            </w:tcBorders>
          </w:tcPr>
          <w:p>
            <w:pPr>
              <w:spacing w:line="440" w:lineRule="exact"/>
              <w:rPr>
                <w:rFonts w:ascii="宋体" w:hAnsi="宋体"/>
                <w:bCs/>
              </w:rPr>
            </w:pPr>
          </w:p>
        </w:tc>
        <w:tc>
          <w:tcPr>
            <w:tcW w:w="2804" w:type="dxa"/>
            <w:tcBorders>
              <w:top w:val="single" w:color="auto" w:sz="4" w:space="0"/>
              <w:left w:val="single" w:color="auto" w:sz="4" w:space="0"/>
              <w:bottom w:val="single" w:color="auto" w:sz="4" w:space="0"/>
              <w:right w:val="single" w:color="auto" w:sz="4" w:space="0"/>
            </w:tcBorders>
          </w:tcPr>
          <w:p>
            <w:pPr>
              <w:widowControl/>
              <w:spacing w:line="440" w:lineRule="exact"/>
              <w:rPr>
                <w:rFonts w:hint="eastAsia" w:ascii="宋体" w:hAnsi="宋体" w:cs="Helvetica"/>
                <w:kern w:val="0"/>
              </w:rPr>
            </w:pPr>
            <w:r>
              <w:rPr>
                <w:rFonts w:hint="eastAsia" w:ascii="宋体" w:hAnsi="宋体" w:cs="Helvetica"/>
                <w:kern w:val="0"/>
              </w:rPr>
              <w:t>第3周-第4周</w:t>
            </w:r>
          </w:p>
          <w:p>
            <w:pPr>
              <w:widowControl/>
              <w:spacing w:line="440" w:lineRule="exact"/>
              <w:rPr>
                <w:rFonts w:ascii="宋体" w:hAnsi="宋体" w:cs="Helvetica"/>
                <w:kern w:val="0"/>
              </w:rPr>
            </w:pPr>
            <w:bookmarkStart w:id="0" w:name="_GoBack"/>
            <w:bookmarkEnd w:id="0"/>
            <w:r>
              <w:rPr>
                <w:rFonts w:hint="eastAsia" w:ascii="宋体" w:hAnsi="宋体" w:cs="Helvetica"/>
                <w:kern w:val="0"/>
              </w:rPr>
              <w:t>广告设计创意手法</w:t>
            </w:r>
          </w:p>
        </w:tc>
        <w:tc>
          <w:tcPr>
            <w:tcW w:w="758"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r>
              <w:rPr>
                <w:rFonts w:ascii="宋体" w:hAnsi="宋体"/>
              </w:rPr>
              <w:t>4</w:t>
            </w:r>
          </w:p>
        </w:tc>
        <w:tc>
          <w:tcPr>
            <w:tcW w:w="774"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4</w:t>
            </w: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ascii="宋体" w:hAnsi="宋体"/>
              </w:rPr>
              <w:t>4</w:t>
            </w:r>
          </w:p>
        </w:tc>
        <w:tc>
          <w:tcPr>
            <w:tcW w:w="85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ascii="宋体" w:hAnsi="宋体"/>
              </w:rPr>
              <w:t>4</w:t>
            </w:r>
          </w:p>
        </w:tc>
        <w:tc>
          <w:tcPr>
            <w:tcW w:w="83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ascii="宋体" w:hAnsi="宋体"/>
              </w:rPr>
              <w:t>4</w:t>
            </w:r>
          </w:p>
        </w:tc>
        <w:tc>
          <w:tcPr>
            <w:tcW w:w="668"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r>
              <w:rPr>
                <w:rFonts w:ascii="宋体" w:hAnsi="宋体"/>
              </w:rPr>
              <w:t>4</w:t>
            </w: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trPr>
        <w:tc>
          <w:tcPr>
            <w:tcW w:w="3554"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rPr>
                <w:rFonts w:ascii="宋体" w:hAnsi="宋体"/>
              </w:rPr>
            </w:pPr>
            <w:r>
              <w:rPr>
                <w:rFonts w:hint="eastAsia" w:ascii="宋体" w:hAnsi="宋体"/>
              </w:rPr>
              <w:t>合    计</w:t>
            </w:r>
          </w:p>
        </w:tc>
        <w:tc>
          <w:tcPr>
            <w:tcW w:w="5654"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jc w:val="center"/>
              <w:rPr>
                <w:rFonts w:ascii="宋体" w:hAnsi="宋体"/>
              </w:rPr>
            </w:pPr>
            <w:r>
              <w:rPr>
                <w:rFonts w:ascii="宋体" w:hAnsi="宋体"/>
              </w:rPr>
              <w:t>48</w:t>
            </w:r>
          </w:p>
        </w:tc>
      </w:tr>
    </w:tbl>
    <w:p>
      <w:pPr>
        <w:rPr>
          <w:b/>
          <w:bCs/>
          <w:sz w:val="28"/>
          <w:szCs w:val="28"/>
        </w:rPr>
      </w:pPr>
    </w:p>
    <w:p>
      <w:r>
        <w:rPr>
          <w:rFonts w:hint="eastAsia"/>
          <w:b/>
          <w:bCs/>
          <w:sz w:val="28"/>
          <w:szCs w:val="28"/>
        </w:rPr>
        <w:t>四、考试安排</w:t>
      </w:r>
    </w:p>
    <w:p>
      <w:pPr>
        <w:spacing w:line="440" w:lineRule="exact"/>
        <w:rPr>
          <w:rFonts w:ascii="宋体" w:hAnsi="宋体"/>
        </w:rPr>
      </w:pPr>
      <w:r>
        <w:rPr>
          <w:rFonts w:hint="eastAsia" w:ascii="宋体" w:hAnsi="宋体"/>
        </w:rPr>
        <w:t>成绩考核采用线上线下相结合的方式。最终成绩=学习通线上教学数据成绩70%+线下考试成绩30%。其中，学习通线上教学数据成绩=线上签到10%+线上作业10%+课堂互动10%（投票、问卷、讨论、抢答等）+直播10%（观看直播、直播回看）+资料阅读10%+线上考试成绩20%。学习通线上教学数据成绩可直接于学习通app设置，教学过程中产生数据后自动生成成绩，课程结束后进行数据导出，成绩计入总成绩。如疫情结束课程转为线上线下混合式教学，继续使用学习通进行教学辅助，数据按方案计入总成绩，学生返校进行线下考试，成绩计入总成绩。如疫情情况不能组织线下考试则改由专题设计大作业替代线下考试成绩。</w:t>
      </w:r>
    </w:p>
    <w:p>
      <w:pPr>
        <w:spacing w:line="440" w:lineRule="exact"/>
        <w:rPr>
          <w:rFonts w:ascii="宋体" w:hAnsi="宋体"/>
        </w:rPr>
      </w:pPr>
      <w:r>
        <w:rPr>
          <w:rFonts w:hint="eastAsia" w:ascii="宋体" w:hAnsi="宋体"/>
        </w:rPr>
        <w:t>教学过程中注重收集学生及教学督导反馈信息，注重利用学习通的课堂报告、学情统计、成绩统计等功能分析学生学情及教学效果，反思教学，及时调整教学设计，不断提高线上教学质量。</w:t>
      </w:r>
    </w:p>
    <w:sectPr>
      <w:pgSz w:w="12240" w:h="15840"/>
      <w:pgMar w:top="1440" w:right="1800" w:bottom="1440" w:left="1800" w:header="720" w:footer="720" w:gutter="0"/>
      <w:cols w:space="720"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305F"/>
    <w:rsid w:val="00020F9A"/>
    <w:rsid w:val="00132AEF"/>
    <w:rsid w:val="001760DC"/>
    <w:rsid w:val="001811D6"/>
    <w:rsid w:val="00220220"/>
    <w:rsid w:val="00393F14"/>
    <w:rsid w:val="003B0B52"/>
    <w:rsid w:val="003B2780"/>
    <w:rsid w:val="003C3FD9"/>
    <w:rsid w:val="004432C9"/>
    <w:rsid w:val="0052632F"/>
    <w:rsid w:val="005E0798"/>
    <w:rsid w:val="0064206B"/>
    <w:rsid w:val="00734EC6"/>
    <w:rsid w:val="00740AF6"/>
    <w:rsid w:val="00854092"/>
    <w:rsid w:val="008A4893"/>
    <w:rsid w:val="008F12B2"/>
    <w:rsid w:val="00984BB7"/>
    <w:rsid w:val="0099677C"/>
    <w:rsid w:val="009A42CF"/>
    <w:rsid w:val="009C7F9B"/>
    <w:rsid w:val="00A26FD2"/>
    <w:rsid w:val="00A4076C"/>
    <w:rsid w:val="00AF6648"/>
    <w:rsid w:val="00B30FB9"/>
    <w:rsid w:val="00CC61B2"/>
    <w:rsid w:val="00D12AF7"/>
    <w:rsid w:val="00D26E0A"/>
    <w:rsid w:val="00D75712"/>
    <w:rsid w:val="00E51E32"/>
    <w:rsid w:val="00E75266"/>
    <w:rsid w:val="00E822DA"/>
    <w:rsid w:val="00EE305F"/>
    <w:rsid w:val="00F41CC1"/>
    <w:rsid w:val="00FC0B10"/>
    <w:rsid w:val="00FF395B"/>
    <w:rsid w:val="14127A9F"/>
    <w:rsid w:val="1F591582"/>
    <w:rsid w:val="40833C94"/>
    <w:rsid w:val="58685D54"/>
    <w:rsid w:val="646F1CC4"/>
    <w:rsid w:val="790E308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157</Words>
  <Characters>897</Characters>
  <Lines>7</Lines>
  <Paragraphs>2</Paragraphs>
  <TotalTime>76</TotalTime>
  <ScaleCrop>false</ScaleCrop>
  <LinksUpToDate>false</LinksUpToDate>
  <CharactersWithSpaces>1052</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2020-02-11T18:13:00Z</dcterms:created>
  <dc:creator>sun soon</dc:creator>
  <cp:lastModifiedBy>红魔方</cp:lastModifiedBy>
  <dcterms:modified xsi:type="dcterms:W3CDTF">2020-02-17T02:16:35Z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